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eastAsia"/>
          <w:b/>
          <w:bCs/>
          <w:color w:val="auto"/>
          <w:sz w:val="24"/>
          <w:szCs w:val="24"/>
          <w:highlight w:val="none"/>
          <w:lang w:eastAsia="zh-CN"/>
        </w:rPr>
      </w:pPr>
      <w:r>
        <w:rPr>
          <w:rFonts w:hint="eastAsia"/>
          <w:b/>
          <w:bCs/>
          <w:color w:val="auto"/>
          <w:sz w:val="24"/>
          <w:szCs w:val="24"/>
          <w:highlight w:val="none"/>
          <w:lang w:eastAsia="zh-CN"/>
        </w:rPr>
        <w:t>更正内容：</w:t>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开标时间：</w:t>
      </w:r>
      <w:r>
        <w:rPr>
          <w:rFonts w:hint="eastAsia" w:ascii="宋体" w:hAnsi="宋体" w:cs="宋体"/>
          <w:color w:val="auto"/>
          <w:sz w:val="24"/>
          <w:szCs w:val="24"/>
          <w:highlight w:val="none"/>
          <w:lang w:eastAsia="zh-CN"/>
        </w:rPr>
        <w:t>2</w:t>
      </w:r>
      <w:bookmarkStart w:id="7" w:name="_GoBack"/>
      <w:bookmarkEnd w:id="7"/>
      <w:r>
        <w:rPr>
          <w:rFonts w:hint="eastAsia" w:ascii="宋体" w:hAnsi="宋体" w:cs="宋体"/>
          <w:color w:val="auto"/>
          <w:sz w:val="24"/>
          <w:szCs w:val="24"/>
          <w:highlight w:val="none"/>
          <w:lang w:eastAsia="zh-CN"/>
        </w:rPr>
        <w:t xml:space="preserve">023年 01 月 06 日 11 :00分 </w:t>
      </w:r>
      <w:r>
        <w:rPr>
          <w:rFonts w:hint="eastAsia" w:ascii="宋体" w:hAnsi="宋体" w:cs="宋体"/>
          <w:color w:val="auto"/>
          <w:sz w:val="24"/>
          <w:szCs w:val="24"/>
          <w:highlight w:val="none"/>
        </w:rPr>
        <w:t>（北京时间）</w:t>
      </w:r>
    </w:p>
    <w:p>
      <w:pPr>
        <w:spacing w:line="360" w:lineRule="auto"/>
        <w:rPr>
          <w:rFonts w:hint="eastAsia" w:eastAsia="宋体"/>
          <w:b/>
          <w:bCs/>
          <w:color w:val="auto"/>
          <w:sz w:val="24"/>
          <w:szCs w:val="24"/>
          <w:highlight w:val="none"/>
          <w:lang w:eastAsia="zh-CN"/>
        </w:rPr>
      </w:pPr>
      <w:r>
        <w:rPr>
          <w:rFonts w:hint="eastAsia" w:ascii="宋体" w:hAnsi="宋体" w:cs="宋体"/>
          <w:color w:val="auto"/>
          <w:sz w:val="24"/>
          <w:szCs w:val="24"/>
          <w:highlight w:val="none"/>
        </w:rPr>
        <w:t xml:space="preserve">开标地点：甘肃省公共资源交易中心第 </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rPr>
        <w:t xml:space="preserve"> 电子开标厅</w:t>
      </w:r>
      <w:r>
        <w:rPr>
          <w:rFonts w:hint="eastAsia" w:ascii="宋体" w:hAnsi="宋体" w:cs="宋体"/>
          <w:b/>
          <w:bCs/>
          <w:color w:val="auto"/>
          <w:sz w:val="24"/>
          <w:szCs w:val="24"/>
          <w:highlight w:val="none"/>
        </w:rPr>
        <w:t>（兰州市城关区雁兴路68号）</w:t>
      </w:r>
    </w:p>
    <w:p>
      <w:pPr>
        <w:pStyle w:val="3"/>
        <w:jc w:val="both"/>
        <w:rPr>
          <w:rFonts w:hint="eastAsia"/>
          <w:color w:val="auto"/>
          <w:sz w:val="21"/>
          <w:szCs w:val="21"/>
          <w:highlight w:val="none"/>
        </w:rPr>
      </w:pPr>
      <w:bookmarkStart w:id="0" w:name="_Toc15423"/>
      <w:bookmarkStart w:id="1" w:name="_Toc6881"/>
      <w:bookmarkStart w:id="2" w:name="_Toc6348"/>
      <w:r>
        <w:rPr>
          <w:rFonts w:hint="eastAsia" w:ascii="宋体" w:hAnsi="宋体" w:cs="宋体"/>
          <w:bCs/>
          <w:color w:val="auto"/>
          <w:sz w:val="24"/>
          <w:szCs w:val="24"/>
          <w:highlight w:val="none"/>
        </w:rPr>
        <w:t xml:space="preserve">第三章  </w:t>
      </w:r>
      <w:bookmarkEnd w:id="0"/>
      <w:bookmarkEnd w:id="1"/>
      <w:bookmarkEnd w:id="2"/>
      <w:bookmarkStart w:id="3" w:name="_Toc19155"/>
      <w:bookmarkStart w:id="4" w:name="_Toc427139937"/>
      <w:bookmarkStart w:id="5" w:name="_Toc257713425"/>
      <w:bookmarkStart w:id="6" w:name="_Toc453409018"/>
      <w:r>
        <w:rPr>
          <w:rFonts w:hint="eastAsia" w:ascii="宋体" w:hAnsi="宋体" w:cs="宋体"/>
          <w:bCs/>
          <w:color w:val="auto"/>
          <w:sz w:val="24"/>
          <w:szCs w:val="24"/>
          <w:highlight w:val="none"/>
        </w:rPr>
        <w:t>技术参数及要求</w:t>
      </w:r>
      <w:bookmarkEnd w:id="3"/>
    </w:p>
    <w:bookmarkEnd w:id="4"/>
    <w:bookmarkEnd w:id="5"/>
    <w:bookmarkEnd w:id="6"/>
    <w:p>
      <w:pPr>
        <w:pStyle w:val="4"/>
        <w:rPr>
          <w:rFonts w:hint="eastAsia"/>
          <w:b/>
          <w:bCs/>
          <w:color w:val="auto"/>
          <w:highlight w:val="none"/>
        </w:rPr>
      </w:pPr>
      <w:r>
        <w:rPr>
          <w:rFonts w:hint="eastAsia"/>
          <w:b/>
          <w:bCs/>
          <w:color w:val="auto"/>
          <w:highlight w:val="none"/>
        </w:rPr>
        <w:t>第二包：</w:t>
      </w:r>
    </w:p>
    <w:p>
      <w:pPr>
        <w:textAlignment w:val="center"/>
        <w:rPr>
          <w:rFonts w:hint="eastAsia" w:ascii="宋体" w:hAnsi="宋体"/>
          <w:color w:val="auto"/>
          <w:szCs w:val="21"/>
          <w:highlight w:val="none"/>
        </w:rPr>
      </w:pPr>
      <w:r>
        <w:rPr>
          <w:rFonts w:hint="eastAsia" w:ascii="宋体" w:hAnsi="宋体" w:cs="宋体"/>
          <w:color w:val="auto"/>
          <w:sz w:val="24"/>
          <w:highlight w:val="none"/>
        </w:rPr>
        <w:t>项目名称：</w:t>
      </w:r>
      <w:r>
        <w:rPr>
          <w:rFonts w:hint="eastAsia" w:ascii="宋体" w:hAnsi="宋体"/>
          <w:color w:val="auto"/>
          <w:szCs w:val="21"/>
          <w:highlight w:val="none"/>
        </w:rPr>
        <w:t>河西学院农学实践教学协同创新中心建设项目（第二包）</w:t>
      </w:r>
    </w:p>
    <w:p>
      <w:pPr>
        <w:textAlignment w:val="center"/>
        <w:rPr>
          <w:color w:val="auto"/>
          <w:sz w:val="24"/>
          <w:szCs w:val="24"/>
          <w:highlight w:val="none"/>
        </w:rPr>
      </w:pPr>
      <w:r>
        <w:rPr>
          <w:rFonts w:hint="eastAsia" w:ascii="宋体" w:hAnsi="宋体" w:eastAsia="宋体" w:cs="宋体"/>
          <w:b/>
          <w:bCs/>
          <w:color w:val="auto"/>
          <w:sz w:val="22"/>
          <w:szCs w:val="22"/>
          <w:highlight w:val="none"/>
        </w:rPr>
        <w:t>智慧农业物联网</w:t>
      </w:r>
    </w:p>
    <w:tbl>
      <w:tblPr>
        <w:tblStyle w:val="8"/>
        <w:tblW w:w="0" w:type="auto"/>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131"/>
        <w:gridCol w:w="5261"/>
        <w:gridCol w:w="762"/>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pStyle w:val="11"/>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序号</w:t>
            </w:r>
          </w:p>
        </w:tc>
        <w:tc>
          <w:tcPr>
            <w:tcW w:w="1131" w:type="dxa"/>
            <w:vAlign w:val="center"/>
          </w:tcPr>
          <w:p>
            <w:pPr>
              <w:pStyle w:val="11"/>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名</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称</w:t>
            </w:r>
          </w:p>
        </w:tc>
        <w:tc>
          <w:tcPr>
            <w:tcW w:w="5261" w:type="dxa"/>
            <w:vAlign w:val="center"/>
          </w:tcPr>
          <w:p>
            <w:pPr>
              <w:pStyle w:val="11"/>
              <w:ind w:firstLine="422" w:firstLineChars="0"/>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技术参数</w:t>
            </w:r>
          </w:p>
        </w:tc>
        <w:tc>
          <w:tcPr>
            <w:tcW w:w="762" w:type="dxa"/>
            <w:vAlign w:val="center"/>
          </w:tcPr>
          <w:p>
            <w:pPr>
              <w:pStyle w:val="11"/>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数量</w:t>
            </w:r>
          </w:p>
        </w:tc>
        <w:tc>
          <w:tcPr>
            <w:tcW w:w="742" w:type="dxa"/>
            <w:vAlign w:val="center"/>
          </w:tcPr>
          <w:p>
            <w:pPr>
              <w:pStyle w:val="11"/>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50" w:type="dxa"/>
          </w:tcPr>
          <w:p>
            <w:pPr>
              <w:rPr>
                <w:rFonts w:hint="default"/>
                <w:b/>
                <w:bCs/>
                <w:color w:val="auto"/>
                <w:vertAlign w:val="baseline"/>
                <w:lang w:val="en-US" w:eastAsia="zh-CN"/>
              </w:rPr>
            </w:pPr>
            <w:r>
              <w:rPr>
                <w:rFonts w:hint="eastAsia"/>
                <w:b/>
                <w:bCs/>
                <w:color w:val="auto"/>
                <w:vertAlign w:val="baseline"/>
                <w:lang w:val="en-US" w:eastAsia="zh-CN"/>
              </w:rPr>
              <w:t>1</w:t>
            </w:r>
          </w:p>
        </w:tc>
        <w:tc>
          <w:tcPr>
            <w:tcW w:w="1131" w:type="dxa"/>
          </w:tcPr>
          <w:p>
            <w:pPr>
              <w:rPr>
                <w:rFonts w:hint="eastAsia"/>
                <w:b/>
                <w:bCs/>
                <w:color w:val="auto"/>
                <w:vertAlign w:val="baseline"/>
                <w:lang w:val="en-US" w:eastAsia="zh-CN"/>
              </w:rPr>
            </w:pPr>
            <w:r>
              <w:rPr>
                <w:rFonts w:hint="eastAsia" w:ascii="宋体" w:hAnsi="宋体" w:eastAsia="宋体" w:cs="宋体"/>
                <w:b/>
                <w:color w:val="auto"/>
                <w:sz w:val="21"/>
                <w:szCs w:val="21"/>
                <w:highlight w:val="none"/>
              </w:rPr>
              <w:t>气象环境监测站</w:t>
            </w:r>
          </w:p>
        </w:tc>
        <w:tc>
          <w:tcPr>
            <w:tcW w:w="5261" w:type="dxa"/>
          </w:tcPr>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1气象环境监测站：</w:t>
            </w:r>
          </w:p>
          <w:p>
            <w:pPr>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小气候信息采集系统：</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1、环境温度：测量范围：-40℃-70℃分辨率：0.1℃准确度：±0.3℃</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2、相对湿度：测量范围：0-100%RH分辨率：0.1%RH 准确度：±2%RH </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3、风速：测量范围：0-65m/s分辨率：0.1m/s 准确度：±0.1m/s（V:风速）</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4、风向：测量范围：0-360°分辨率：1°准确度：±3°</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5、大气压力：量程范围：500～1100hPa，分 辨 率：0.1hpa，准 确 度：± 0.3hPa</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6、降雨量：量程范围：0～6553mm，分辨率：0.1mm，准确度：±0.1mm</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7、光照度：测量范围：0～200000Lux波长范围：380 nm～730 nm 准确度：±7%</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8、太阳总辐射：</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测量范围：0～1500W/m2</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9、土壤温度：测量范围：-40～80℃、分辨率：0.1℃、准 确 度：±0.3℃</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10、土壤湿度：测量范围：0～100%、分辨率：0.1%、准 确 度：±2%</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、采集主机：内核：ARM32位Cortex-M3CPU 系统时钟：最高可达72MHz</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kern w:val="0"/>
                <w:sz w:val="20"/>
                <w:szCs w:val="20"/>
                <w:highlight w:val="none"/>
                <w:lang w:val="en-US" w:eastAsia="zh-CN" w:bidi="ar"/>
              </w:rPr>
              <w:t>▲12</w:t>
            </w:r>
            <w:r>
              <w:rPr>
                <w:rFonts w:hint="eastAsia" w:ascii="宋体" w:hAnsi="宋体" w:eastAsia="宋体" w:cs="宋体"/>
                <w:color w:val="auto"/>
                <w:sz w:val="21"/>
                <w:szCs w:val="21"/>
                <w:highlight w:val="none"/>
              </w:rPr>
              <w:t>、存储功能：不小于32Mbit内存，当采集间隔时间5分钟情况下，可数据可缓存不少于58</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天的数据（提供带有CNAS标识的第三方出具的检测报告佐证</w:t>
            </w:r>
            <w:r>
              <w:rPr>
                <w:rFonts w:hint="eastAsia" w:ascii="宋体" w:hAnsi="宋体" w:eastAsia="宋体" w:cs="宋体"/>
                <w:color w:val="auto"/>
                <w:sz w:val="21"/>
                <w:szCs w:val="21"/>
                <w:highlight w:val="none"/>
                <w:lang w:eastAsia="zh-CN"/>
              </w:rPr>
              <w:t>并加盖厂家公章</w:t>
            </w:r>
            <w:r>
              <w:rPr>
                <w:rFonts w:hint="eastAsia" w:ascii="宋体" w:hAnsi="宋体" w:eastAsia="宋体" w:cs="宋体"/>
                <w:color w:val="auto"/>
                <w:sz w:val="21"/>
                <w:szCs w:val="21"/>
                <w:highlight w:val="none"/>
              </w:rPr>
              <w:t>）</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、传感器通道：RS485接口，波特率9600，MODBUS主机协议，可实现MODBUS接口传感器不分功能盲插安装，本机带有8路传感器接口，可根据需求扩展最大32路传感器接口。</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、显示功能：4.3英寸480×272像素全彩液晶屏幕显示，整体界面清晰美观；可扩展LED显示屏进行丰富显示；同时支持实时时钟及时间校准功能。</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、通讯协议：支持标准MODBUS协议，方便用户实现上位机软件二次编程。通讯接口：串行RS485，RJ45有线以太网口，4G移动网络，USB。</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kern w:val="0"/>
                <w:sz w:val="20"/>
                <w:szCs w:val="20"/>
                <w:highlight w:val="none"/>
                <w:lang w:val="en-US" w:eastAsia="zh-CN" w:bidi="ar"/>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、远程控制功能：可通过网页及APP控制采集间隔时间、传感器校准、报警手机卡及流量控制等。（提供带有CNAS标识的第三方出具的检测报告佐证</w:t>
            </w:r>
            <w:r>
              <w:rPr>
                <w:rFonts w:hint="eastAsia" w:ascii="宋体" w:hAnsi="宋体" w:eastAsia="宋体" w:cs="宋体"/>
                <w:color w:val="auto"/>
                <w:sz w:val="21"/>
                <w:szCs w:val="21"/>
                <w:highlight w:val="none"/>
                <w:lang w:eastAsia="zh-CN"/>
              </w:rPr>
              <w:t>并加盖厂家公章</w:t>
            </w:r>
            <w:r>
              <w:rPr>
                <w:rFonts w:hint="eastAsia" w:ascii="宋体" w:hAnsi="宋体" w:eastAsia="宋体" w:cs="宋体"/>
                <w:color w:val="auto"/>
                <w:sz w:val="21"/>
                <w:szCs w:val="21"/>
                <w:highlight w:val="none"/>
              </w:rPr>
              <w:t>）</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kern w:val="0"/>
                <w:sz w:val="20"/>
                <w:szCs w:val="20"/>
                <w:highlight w:val="none"/>
                <w:lang w:val="en-US" w:eastAsia="zh-CN" w:bidi="ar"/>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、防盗要求：设备发生震动、移除等外力操作时，可立即自动推送报警信息，可在PC云端地图中查看设备站点等数据，被盗可追踪。（提供带有CNAS标识的第三方出具的检测报告佐证</w:t>
            </w:r>
            <w:r>
              <w:rPr>
                <w:rFonts w:hint="eastAsia" w:ascii="宋体" w:hAnsi="宋体" w:eastAsia="宋体" w:cs="宋体"/>
                <w:color w:val="auto"/>
                <w:sz w:val="21"/>
                <w:szCs w:val="21"/>
                <w:highlight w:val="none"/>
                <w:lang w:eastAsia="zh-CN"/>
              </w:rPr>
              <w:t>并加盖厂家公章</w:t>
            </w:r>
            <w:r>
              <w:rPr>
                <w:rFonts w:hint="eastAsia" w:ascii="宋体" w:hAnsi="宋体" w:eastAsia="宋体" w:cs="宋体"/>
                <w:color w:val="auto"/>
                <w:sz w:val="21"/>
                <w:szCs w:val="21"/>
                <w:highlight w:val="none"/>
              </w:rPr>
              <w:t>）</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、供电：太阳能供电60W，蓄电池容量38AH</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、立杆：镀锌喷塑立杆、立杆高度3.5m含预埋地笼、防风拉锁、配电箱、避雷等。</w:t>
            </w:r>
          </w:p>
          <w:p>
            <w:pPr>
              <w:ind w:firstLine="420"/>
              <w:rPr>
                <w:rFonts w:hint="eastAsia"/>
                <w:color w:val="auto"/>
                <w:vertAlign w:val="baseline"/>
                <w:lang w:val="en-US" w:eastAsia="zh-CN"/>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、LED显示屏：1m*0.5m 户外P10 单红LED显示屏，含立杆、含LED屏控制卡</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eastAsiaTheme="minorEastAsia"/>
                <w:b/>
                <w:bCs/>
                <w:color w:val="auto"/>
                <w:vertAlign w:val="baseline"/>
                <w:lang w:val="en-US" w:eastAsia="zh-CN"/>
              </w:rPr>
            </w:pPr>
            <w:r>
              <w:rPr>
                <w:rFonts w:hint="eastAsia"/>
                <w:b/>
                <w:bCs/>
                <w:color w:va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pPr>
              <w:rPr>
                <w:rFonts w:hint="default"/>
                <w:b/>
                <w:bCs/>
                <w:color w:val="auto"/>
                <w:vertAlign w:val="baseline"/>
                <w:lang w:val="en-US" w:eastAsia="zh-CN"/>
              </w:rPr>
            </w:pPr>
            <w:r>
              <w:rPr>
                <w:rFonts w:hint="eastAsia"/>
                <w:b/>
                <w:bCs/>
                <w:color w:val="auto"/>
                <w:vertAlign w:val="baseline"/>
                <w:lang w:val="en-US" w:eastAsia="zh-CN"/>
              </w:rPr>
              <w:t>2</w:t>
            </w:r>
          </w:p>
        </w:tc>
        <w:tc>
          <w:tcPr>
            <w:tcW w:w="1131" w:type="dxa"/>
          </w:tcPr>
          <w:p>
            <w:pPr>
              <w:rPr>
                <w:rFonts w:hint="eastAsia"/>
                <w:b/>
                <w:bCs/>
                <w:color w:val="auto"/>
                <w:vertAlign w:val="baseline"/>
                <w:lang w:val="en-US" w:eastAsia="zh-CN"/>
              </w:rPr>
            </w:pPr>
            <w:r>
              <w:rPr>
                <w:rFonts w:hint="eastAsia" w:ascii="宋体" w:hAnsi="宋体" w:eastAsia="宋体" w:cs="宋体"/>
                <w:b/>
                <w:bCs/>
                <w:color w:val="auto"/>
                <w:sz w:val="21"/>
                <w:szCs w:val="21"/>
                <w:highlight w:val="none"/>
              </w:rPr>
              <w:t>虫情信息采集设备</w:t>
            </w:r>
          </w:p>
        </w:tc>
        <w:tc>
          <w:tcPr>
            <w:tcW w:w="5261" w:type="dxa"/>
          </w:tcPr>
          <w:p>
            <w:pPr>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2.虫情信息采集设备：</w:t>
            </w:r>
          </w:p>
          <w:p>
            <w:pPr>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2.1物联网自动虫情信息采集设备：</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1、诱集光源：主波长365nm </w:t>
            </w: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W黑光灯管。</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2、供电：220V或320W太阳能供电，200ah蓄电池供电。</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3、功率：≤450W  待机≤25W。</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4、绝缘电阻：≥2.5MΩ（有漏电保护装置）。</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5、整体结构采用不锈钢镀锌喷塑。</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6、远红外虫体处理仓温度控制：工作15分钟后达到85±5℃（75-125℃可调），处理时间可调（1-20分钟可调）。</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7、远红外虫体处理致死率不小于98%，虫体完整率不小于95%。</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8、集虫器:接虫盘直径350mm,具有震动缓冲装置和自动清扫功能，保证昆虫不堆积。</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9、光控：晚上自动开灯，白天自动关灯（待机）。在夜间工作状态下，不受瞬间强光照射改变工作状态。</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10、雨控装置：按外界雨量变化自动控制整灯工作。</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、排水装置：能有效将雨、虫分离。</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kern w:val="0"/>
                <w:sz w:val="20"/>
                <w:szCs w:val="20"/>
                <w:highlight w:val="none"/>
                <w:lang w:val="en-US" w:eastAsia="zh-CN" w:bidi="ar"/>
              </w:rPr>
              <w:t>▲</w:t>
            </w:r>
            <w:r>
              <w:rPr>
                <w:rFonts w:hint="eastAsia" w:ascii="宋体" w:hAnsi="宋体" w:eastAsia="宋体" w:cs="宋体"/>
                <w:color w:val="auto"/>
                <w:sz w:val="21"/>
                <w:szCs w:val="21"/>
                <w:highlight w:val="none"/>
              </w:rPr>
              <w:t>12、语音播报：实时播报设备的工作状态进程。（提供带有CNAS标识的第三方出具的检测报告佐证</w:t>
            </w:r>
            <w:r>
              <w:rPr>
                <w:rFonts w:hint="eastAsia" w:ascii="宋体" w:hAnsi="宋体" w:eastAsia="宋体" w:cs="宋体"/>
                <w:color w:val="auto"/>
                <w:sz w:val="21"/>
                <w:szCs w:val="21"/>
                <w:highlight w:val="none"/>
                <w:lang w:eastAsia="zh-CN"/>
              </w:rPr>
              <w:t>并加盖厂家公章</w:t>
            </w:r>
            <w:r>
              <w:rPr>
                <w:rFonts w:hint="eastAsia" w:ascii="宋体" w:hAnsi="宋体" w:eastAsia="宋体" w:cs="宋体"/>
                <w:color w:val="auto"/>
                <w:sz w:val="21"/>
                <w:szCs w:val="21"/>
                <w:highlight w:val="none"/>
              </w:rPr>
              <w:t>）</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13、全中文液晶显示，7寸电容触摸屏。可编程控制系统，可分多时段设置工作时间，远程自动拍照，GPRS制式录入。</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14、拍照装置：配置2000万像素高清相机，自动拍摄的图片以无线发送至农业物联网监测平台，平台自动记录每个时间段采集的图片数据，保证每个时间段拍摄的虫体不混淆。</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数据传输：内置有线和无线网络传输模块，支持有线和2/3/4G全网通无线接入互联网，能够将监测数据传输至软件平台或数据中心。具备通讯故障恢复后数据续传功能，如因传输网络故障等原因未能将数据定时远传，则待传输网络恢复正常后能利用存储的数据重新上传。</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16、接虫箱：不锈钢喷塑材质，可抽拉。</w:t>
            </w:r>
          </w:p>
          <w:p>
            <w:pPr>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软件平台参数：</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1、控制功能：可通过触摸屏现场控制及软件端远程手动监测控制设备，具有诱虫灯远程开启，手动拍照，光控时控切换，拍照间隔时间可调，有线，无线网络切换，流量限流，GPS/北斗定位等功能。</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kern w:val="0"/>
                <w:sz w:val="20"/>
                <w:szCs w:val="20"/>
                <w:highlight w:val="none"/>
                <w:lang w:val="en-US" w:eastAsia="zh-CN" w:bidi="ar"/>
              </w:rPr>
              <w:t>▲</w:t>
            </w:r>
            <w:r>
              <w:rPr>
                <w:rFonts w:hint="eastAsia" w:ascii="宋体" w:hAnsi="宋体" w:eastAsia="宋体" w:cs="宋体"/>
                <w:color w:val="auto"/>
                <w:sz w:val="21"/>
                <w:szCs w:val="21"/>
                <w:highlight w:val="none"/>
              </w:rPr>
              <w:t>2、设备具有高低温保护功能，空气温度低于5℃机器处于待机状态，高于70℃机器处于保护状态。（提供带有CNAS标识的第三方出具的检测报告佐证</w:t>
            </w:r>
            <w:r>
              <w:rPr>
                <w:rFonts w:hint="eastAsia" w:ascii="宋体" w:hAnsi="宋体" w:eastAsia="宋体" w:cs="宋体"/>
                <w:color w:val="auto"/>
                <w:sz w:val="21"/>
                <w:szCs w:val="21"/>
                <w:highlight w:val="none"/>
                <w:lang w:eastAsia="zh-CN"/>
              </w:rPr>
              <w:t>并加盖厂家公章</w:t>
            </w:r>
            <w:r>
              <w:rPr>
                <w:rFonts w:hint="eastAsia" w:ascii="宋体" w:hAnsi="宋体" w:eastAsia="宋体" w:cs="宋体"/>
                <w:color w:val="auto"/>
                <w:sz w:val="21"/>
                <w:szCs w:val="21"/>
                <w:highlight w:val="none"/>
              </w:rPr>
              <w:t>）</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kern w:val="0"/>
                <w:sz w:val="20"/>
                <w:szCs w:val="20"/>
                <w:highlight w:val="none"/>
                <w:lang w:val="en-US" w:eastAsia="zh-CN" w:bidi="ar"/>
              </w:rPr>
              <w:t>▲</w:t>
            </w:r>
            <w:r>
              <w:rPr>
                <w:rFonts w:hint="eastAsia" w:ascii="宋体" w:hAnsi="宋体" w:eastAsia="宋体" w:cs="宋体"/>
                <w:color w:val="auto"/>
                <w:sz w:val="21"/>
                <w:szCs w:val="21"/>
                <w:highlight w:val="none"/>
              </w:rPr>
              <w:t>3、设备可以远程查看和控制：灯管开关，清扫，工作模式，拍照间隔，联网信息，远程启动/重启，设备经纬度定位，电量提醒，流量查询，温湿度显示灯设备的运行状态。（提供带有CNAS标识的第三方出具的检测报告佐证</w:t>
            </w:r>
            <w:r>
              <w:rPr>
                <w:rFonts w:hint="eastAsia" w:ascii="宋体" w:hAnsi="宋体" w:eastAsia="宋体" w:cs="宋体"/>
                <w:color w:val="auto"/>
                <w:sz w:val="21"/>
                <w:szCs w:val="21"/>
                <w:highlight w:val="none"/>
                <w:lang w:eastAsia="zh-CN"/>
              </w:rPr>
              <w:t>并加盖厂家公章</w:t>
            </w:r>
            <w:r>
              <w:rPr>
                <w:rFonts w:hint="eastAsia" w:ascii="宋体" w:hAnsi="宋体" w:eastAsia="宋体" w:cs="宋体"/>
                <w:color w:val="auto"/>
                <w:sz w:val="21"/>
                <w:szCs w:val="21"/>
                <w:highlight w:val="none"/>
              </w:rPr>
              <w:t>）</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4、根据上传的图片进行数据库对比，识别图片上的害虫及其数量，对一、二类农作物病虫害名录中趋光性害虫的单一种类识别计数准确率≥95%）。</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5、软件能够对虫害通过气象和虫体种类、数量报表合并展示，直观的进行分析虫体的发生规律，方便用户结合害虫的发生情况，更加准确的对虫害的发生进行趋势进行分析和预警。</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6、害虫统计报表可以一键导出，转化成各种格式，方便用户统计分析上报。</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kern w:val="0"/>
                <w:sz w:val="20"/>
                <w:szCs w:val="20"/>
                <w:highlight w:val="none"/>
                <w:lang w:val="en-US" w:eastAsia="zh-CN" w:bidi="ar"/>
              </w:rPr>
              <w:t>▲</w:t>
            </w:r>
            <w:r>
              <w:rPr>
                <w:rFonts w:hint="eastAsia" w:ascii="宋体" w:hAnsi="宋体" w:eastAsia="宋体" w:cs="宋体"/>
                <w:color w:val="auto"/>
                <w:sz w:val="21"/>
                <w:szCs w:val="21"/>
                <w:highlight w:val="none"/>
              </w:rPr>
              <w:t>7、设备每天虫害的统计数据，以短信的方式发送给用户，具有新型虫害短信预警的功能（提供带有CNAS标识的第三方出具的检测报告佐证</w:t>
            </w:r>
            <w:r>
              <w:rPr>
                <w:rFonts w:hint="eastAsia" w:ascii="宋体" w:hAnsi="宋体" w:eastAsia="宋体" w:cs="宋体"/>
                <w:color w:val="auto"/>
                <w:sz w:val="21"/>
                <w:szCs w:val="21"/>
                <w:highlight w:val="none"/>
                <w:lang w:eastAsia="zh-CN"/>
              </w:rPr>
              <w:t>并加盖厂家公章</w:t>
            </w:r>
            <w:r>
              <w:rPr>
                <w:rFonts w:hint="eastAsia" w:ascii="宋体" w:hAnsi="宋体" w:eastAsia="宋体" w:cs="宋体"/>
                <w:color w:val="auto"/>
                <w:sz w:val="21"/>
                <w:szCs w:val="21"/>
                <w:highlight w:val="none"/>
              </w:rPr>
              <w:t>）</w:t>
            </w:r>
          </w:p>
          <w:p>
            <w:pPr>
              <w:rPr>
                <w:rFonts w:hint="eastAsia"/>
                <w:color w:val="auto"/>
                <w:vertAlign w:val="baseline"/>
                <w:lang w:val="en-US" w:eastAsia="zh-CN"/>
              </w:rPr>
            </w:pP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pPr>
              <w:rPr>
                <w:rFonts w:hint="default"/>
                <w:b/>
                <w:bCs/>
                <w:color w:val="auto"/>
                <w:vertAlign w:val="baseline"/>
                <w:lang w:val="en-US" w:eastAsia="zh-CN"/>
              </w:rPr>
            </w:pPr>
            <w:r>
              <w:rPr>
                <w:rFonts w:hint="eastAsia"/>
                <w:b/>
                <w:bCs/>
                <w:color w:val="auto"/>
                <w:vertAlign w:val="baseline"/>
                <w:lang w:val="en-US" w:eastAsia="zh-CN"/>
              </w:rPr>
              <w:t>3</w:t>
            </w:r>
          </w:p>
        </w:tc>
        <w:tc>
          <w:tcPr>
            <w:tcW w:w="1131" w:type="dxa"/>
          </w:tcPr>
          <w:p>
            <w:pPr>
              <w:rPr>
                <w:rFonts w:hint="eastAsia"/>
                <w:b/>
                <w:bCs/>
                <w:color w:val="auto"/>
                <w:vertAlign w:val="baseline"/>
                <w:lang w:val="en-US" w:eastAsia="zh-CN"/>
              </w:rPr>
            </w:pPr>
            <w:r>
              <w:rPr>
                <w:rFonts w:hint="eastAsia" w:ascii="宋体" w:hAnsi="宋体" w:eastAsia="宋体" w:cs="宋体"/>
                <w:b/>
                <w:bCs/>
                <w:color w:val="auto"/>
                <w:sz w:val="21"/>
                <w:szCs w:val="21"/>
                <w:highlight w:val="none"/>
              </w:rPr>
              <w:t>害虫性诱监测系统</w:t>
            </w:r>
          </w:p>
        </w:tc>
        <w:tc>
          <w:tcPr>
            <w:tcW w:w="5261" w:type="dxa"/>
          </w:tcPr>
          <w:p>
            <w:pPr>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3.害虫性诱监测系统</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3.1.整体采用热镀锌喷塑材质</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3.2.整机高度3m，高度可调1.5m-2m之间</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3.3.供电方式：12v直流供电，太阳能电池板功率≥60W；蓄电池容量≥24AH（可选配锂电池）</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3.4.标靶诱集：标靶害虫通过性诱剂诱集，害虫种类可控。</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3.5.光栅装置：反应时间小于500uS；光纤光距小于1mm;可检测大于5毫米虫体</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3.6.计数方式：采用光栅计数装置，保证进入的害虫都能够被检测到，虫体检测准确率＞95％</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3.7.进虫口：进虫口设有防逃逸功能，诱集的昆虫单通道进入，确保计数准确。</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3.8.害虫击杀：采用圆形高压电网对虫体进行击杀，击杀后触发清扫电机转动扫落虫体，保证击杀的虫体不会在电网座上面堆积，击杀电压：6000±500v</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3.9.清扫装置：即时清扫，通过电机带动扫动装置转动来清理高压电网上的害虫</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3.10.储存：采用密闭式可拆卸接虫桶，保证进入虫体不丢失，并且方便虫体的取出</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3.11.气象数据：环境温湿度根据当地气象数据实时显示</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3.12.能在恶劣气候长期情况下正常工作，工作温度：-10℃-50℃；工作湿度：0-98%</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联网功能：通过4G或网线方式连接到物联网平台，可以实时或定时传输设备状态和数据信息,数据信息包括：工作状态、环境温湿度、充电电压、电池电压、充电状态、电池状态、诱虫次数、信号强度、上报时间等，可以远程控制设备开关、设备上传时间、时控等</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3.14.可以远程设置害虫预警阈值，根据害虫阈值预警，达到设定数值自动发送害虫预警信息</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3.15.蓄电池保护：控制电路设计有蓄电池自动维护功能，防止过充过放降低蓄电池的使用寿命</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3.16.具有防雨、防雷功能</w:t>
            </w:r>
          </w:p>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3.17.具备GPS定位、防盗功能</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pPr>
              <w:rPr>
                <w:rFonts w:hint="default"/>
                <w:b/>
                <w:bCs/>
                <w:color w:val="auto"/>
                <w:vertAlign w:val="baseline"/>
                <w:lang w:val="en-US" w:eastAsia="zh-CN"/>
              </w:rPr>
            </w:pPr>
            <w:r>
              <w:rPr>
                <w:rFonts w:hint="eastAsia"/>
                <w:b/>
                <w:bCs/>
                <w:color w:val="auto"/>
                <w:vertAlign w:val="baseline"/>
                <w:lang w:val="en-US" w:eastAsia="zh-CN"/>
              </w:rPr>
              <w:t>4</w:t>
            </w:r>
          </w:p>
        </w:tc>
        <w:tc>
          <w:tcPr>
            <w:tcW w:w="1131" w:type="dxa"/>
          </w:tcPr>
          <w:p>
            <w:pPr>
              <w:rPr>
                <w:rFonts w:hint="eastAsia"/>
                <w:b/>
                <w:bCs/>
                <w:color w:val="auto"/>
                <w:vertAlign w:val="baseline"/>
                <w:lang w:val="en-US" w:eastAsia="zh-CN"/>
              </w:rPr>
            </w:pPr>
            <w:r>
              <w:rPr>
                <w:rFonts w:hint="eastAsia" w:ascii="宋体" w:hAnsi="宋体" w:eastAsia="宋体" w:cs="宋体"/>
                <w:b/>
                <w:bCs/>
                <w:color w:val="auto"/>
                <w:sz w:val="21"/>
                <w:szCs w:val="21"/>
                <w:highlight w:val="none"/>
              </w:rPr>
              <w:t>可视化视频监控系统</w:t>
            </w:r>
          </w:p>
        </w:tc>
        <w:tc>
          <w:tcPr>
            <w:tcW w:w="5261" w:type="dxa"/>
          </w:tcPr>
          <w:p>
            <w:pPr>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4.可视化视频监控系统</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4.1区域入侵侦测，越界侦测，进入区域侦测和离开区域侦等智能侦测</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4.2高效补光阵列，低功耗，红外补光100 m</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4.3内置加热玻璃，有效除雾</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4.4超低照度，0.005 Lux @F1.6（彩色），0.001 Lux @F1.6（黑白），0 Lux with IR</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  23倍光学变倍，16倍数字变倍</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4.6三码流技术，每路码流可独立配置分辨率及帧率</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4.7  3D数字降噪，支持120 dB宽动态</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4.8定时抓图与事件抓图功能</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4.9定时任务，一键守望，一键巡航功能</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4.10开放型网络视频接口，ISAPI，GB/T28181，ISUP，萤石</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4.11最大256 GB MicroSD卡存储</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  IP66，抗干扰能力强，适用于严酷的电磁环境，符合GB/T17626.2/3/4/5/6四级标准</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  4G（移动、联通、电信）网络传输，兼容3G（移动、联通、电信）</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4.14  485读取标准电池电量信息并进行OSD叠加</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4.15立杆：立杆高度4m、含预埋地笼</w:t>
            </w:r>
          </w:p>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4.16供电：太阳能供电、交流供电系统</w:t>
            </w:r>
          </w:p>
        </w:tc>
        <w:tc>
          <w:tcPr>
            <w:tcW w:w="762" w:type="dxa"/>
          </w:tcPr>
          <w:p>
            <w:pPr>
              <w:rPr>
                <w:rFonts w:hint="default"/>
                <w:color w:val="auto"/>
                <w:vertAlign w:val="baseline"/>
                <w:lang w:val="en-US" w:eastAsia="zh-CN"/>
              </w:rPr>
            </w:pPr>
            <w:r>
              <w:rPr>
                <w:rFonts w:hint="eastAsia"/>
                <w:color w:val="auto"/>
                <w:vertAlign w:val="baseline"/>
                <w:lang w:val="en-US" w:eastAsia="zh-CN"/>
              </w:rPr>
              <w:t>10</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pPr>
              <w:rPr>
                <w:rFonts w:hint="default"/>
                <w:b/>
                <w:bCs/>
                <w:color w:val="auto"/>
                <w:vertAlign w:val="baseline"/>
                <w:lang w:val="en-US" w:eastAsia="zh-CN"/>
              </w:rPr>
            </w:pPr>
            <w:r>
              <w:rPr>
                <w:rFonts w:hint="eastAsia"/>
                <w:b/>
                <w:bCs/>
                <w:color w:val="auto"/>
                <w:vertAlign w:val="baseline"/>
                <w:lang w:val="en-US" w:eastAsia="zh-CN"/>
              </w:rPr>
              <w:t>5</w:t>
            </w:r>
          </w:p>
        </w:tc>
        <w:tc>
          <w:tcPr>
            <w:tcW w:w="1131" w:type="dxa"/>
          </w:tcPr>
          <w:p>
            <w:pPr>
              <w:rPr>
                <w:rFonts w:hint="eastAsia"/>
                <w:b/>
                <w:bCs/>
                <w:color w:val="auto"/>
                <w:vertAlign w:val="baseline"/>
                <w:lang w:val="en-US" w:eastAsia="zh-CN"/>
              </w:rPr>
            </w:pPr>
            <w:r>
              <w:rPr>
                <w:rFonts w:hint="eastAsia" w:ascii="宋体" w:hAnsi="宋体" w:eastAsia="宋体" w:cs="宋体"/>
                <w:b/>
                <w:bCs/>
                <w:color w:val="auto"/>
                <w:sz w:val="21"/>
                <w:szCs w:val="21"/>
                <w:highlight w:val="none"/>
              </w:rPr>
              <w:t>多深度管式土壤墒情监测站</w:t>
            </w:r>
          </w:p>
        </w:tc>
        <w:tc>
          <w:tcPr>
            <w:tcW w:w="5261" w:type="dxa"/>
          </w:tcPr>
          <w:p>
            <w:pPr>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5.多深度管式土壤墒情监测站</w:t>
            </w:r>
          </w:p>
          <w:p>
            <w:pPr>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一、应用场景</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土壤墒情监测、智慧农业、智能灌溉、水肥一体化、温室大棚物联网</w:t>
            </w:r>
          </w:p>
          <w:p>
            <w:pPr>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二、基本功能</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精准测量 3 个深度（两测量节点间距 10cm）土壤水分、20cm 土壤温度值；</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定时（每小时）向物联网平台发送数据；</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通过手机微信扫码、收藏查看设备信息；</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云平台显示传感器上传信息；</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云平台查询历史数据；</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云平台发送查询和工作指令；</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云平台监控状态；</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系统高度一体化集成设计,安装简单，无需专业工程师现场调试。</w:t>
            </w:r>
          </w:p>
          <w:p>
            <w:pPr>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三、参数指标</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土壤水分测量量程 0~100%，分辨率 0.1%；</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土壤水分测量精度≤±2.5%cm3/cm3（体积含水率）；</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土壤温度量程：-10~+60℃；</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土壤温度精度：±0.5℃，分辨率：0.1℃；</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支持移动 4G CAT1/GSM/GPRS 无线通信；</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光伏标称电压 6V；</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锂电池标称容量 4800mAh；</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现场部署安装时间约 20 分钟；</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传感器质保壹年；</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 休眠电流：0.01mA；</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数据采集：20mA；</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发送电流：80mA；</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功率：30μW；</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系统组成模块（传感器、RTU、太阳能板等）；</w:t>
            </w:r>
          </w:p>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15. 高度一体化集成设计、安装前产品外观无任何外露电缆</w:t>
            </w:r>
          </w:p>
        </w:tc>
        <w:tc>
          <w:tcPr>
            <w:tcW w:w="762" w:type="dxa"/>
          </w:tcPr>
          <w:p>
            <w:pPr>
              <w:rPr>
                <w:rFonts w:hint="default"/>
                <w:color w:val="auto"/>
                <w:vertAlign w:val="baseline"/>
                <w:lang w:val="en-US" w:eastAsia="zh-CN"/>
              </w:rPr>
            </w:pPr>
            <w:r>
              <w:rPr>
                <w:rFonts w:hint="eastAsia"/>
                <w:color w:val="auto"/>
                <w:vertAlign w:val="baseline"/>
                <w:lang w:val="en-US" w:eastAsia="zh-CN"/>
              </w:rPr>
              <w:t>26</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restart"/>
          </w:tcPr>
          <w:p>
            <w:pPr>
              <w:rPr>
                <w:rFonts w:hint="default"/>
                <w:b/>
                <w:bCs/>
                <w:color w:val="auto"/>
                <w:vertAlign w:val="baseline"/>
                <w:lang w:val="en-US" w:eastAsia="zh-CN"/>
              </w:rPr>
            </w:pPr>
            <w:r>
              <w:rPr>
                <w:rFonts w:hint="eastAsia"/>
                <w:b/>
                <w:bCs/>
                <w:color w:val="auto"/>
                <w:vertAlign w:val="baseline"/>
                <w:lang w:val="en-US" w:eastAsia="zh-CN"/>
              </w:rPr>
              <w:t>6</w:t>
            </w:r>
          </w:p>
        </w:tc>
        <w:tc>
          <w:tcPr>
            <w:tcW w:w="1131" w:type="dxa"/>
            <w:vMerge w:val="restart"/>
          </w:tcPr>
          <w:p>
            <w:pPr>
              <w:rPr>
                <w:rFonts w:hint="eastAsia"/>
                <w:b/>
                <w:bCs/>
                <w:color w:val="auto"/>
                <w:vertAlign w:val="baseline"/>
                <w:lang w:val="en-US" w:eastAsia="zh-CN"/>
              </w:rPr>
            </w:pPr>
            <w:r>
              <w:rPr>
                <w:rFonts w:hint="eastAsia" w:ascii="宋体" w:hAnsi="宋体" w:eastAsia="宋体" w:cs="宋体"/>
                <w:b/>
                <w:bCs/>
                <w:color w:val="auto"/>
                <w:sz w:val="21"/>
                <w:szCs w:val="21"/>
                <w:highlight w:val="none"/>
              </w:rPr>
              <w:t>水肥一体化智能控制系统</w:t>
            </w:r>
          </w:p>
        </w:tc>
        <w:tc>
          <w:tcPr>
            <w:tcW w:w="5261" w:type="dxa"/>
          </w:tcPr>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6.水肥一体化智能控制系统</w:t>
            </w:r>
          </w:p>
          <w:p>
            <w:pPr>
              <w:rPr>
                <w:rFonts w:hint="eastAsia"/>
                <w:color w:val="auto"/>
                <w:vertAlign w:val="baseline"/>
                <w:lang w:val="en-US" w:eastAsia="zh-CN"/>
              </w:rPr>
            </w:pPr>
            <w:r>
              <w:rPr>
                <w:rFonts w:hint="eastAsia" w:ascii="宋体" w:hAnsi="宋体" w:eastAsia="宋体" w:cs="宋体"/>
                <w:color w:val="auto"/>
                <w:sz w:val="21"/>
                <w:szCs w:val="21"/>
                <w:highlight w:val="none"/>
              </w:rPr>
              <w:t>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水泵</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增压水泵：功率：37KW 扬程：55m 流量：80m³/h</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default"/>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rPr>
                <w:rFonts w:hint="eastAsia"/>
                <w:color w:val="auto"/>
                <w:vertAlign w:val="baseline"/>
                <w:lang w:val="en-US" w:eastAsia="zh-CN"/>
              </w:rPr>
            </w:pPr>
            <w:r>
              <w:rPr>
                <w:rFonts w:hint="eastAsia" w:ascii="宋体" w:hAnsi="宋体" w:eastAsia="宋体" w:cs="宋体"/>
                <w:color w:val="auto"/>
                <w:sz w:val="21"/>
                <w:szCs w:val="21"/>
                <w:highlight w:val="none"/>
              </w:rPr>
              <w:t>6.2恒压变频控制柜:控制37KW主水泵 自动调节压力，含远传压力检测 远程自动启动功能</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eastAsia"/>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rPr>
                <w:rFonts w:hint="eastAsia"/>
                <w:color w:val="auto"/>
                <w:vertAlign w:val="baseline"/>
                <w:lang w:val="en-US" w:eastAsia="zh-CN"/>
              </w:rPr>
            </w:pPr>
            <w:r>
              <w:rPr>
                <w:rFonts w:hint="eastAsia" w:ascii="宋体" w:hAnsi="宋体" w:eastAsia="宋体" w:cs="宋体"/>
                <w:color w:val="auto"/>
                <w:sz w:val="21"/>
                <w:szCs w:val="21"/>
                <w:highlight w:val="none"/>
              </w:rPr>
              <w:t>6.3过滤系统</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过滤系统：自动反冲洗砂石+叠片过滤</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eastAsia"/>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6.4施肥系统:</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6.4.1三路文丘里施肥通道吸肥，一路备用；</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6.4.2配备转子流量计，可手动调节施肥量，施肥量最大可达420L/H；</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6.4.3工业施肥泵,功率：1.5kw，最大扬程58m，流量5m³/h，工作稳定可靠；</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6..4.4注肥压力5公斤，带压力传感器监测，设置压力上下限报警保护，出现故障时，系统自动停止运行。</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6.4.5吸肥通道上配备止回阀，过滤器，电磁阀，阻止肥液倒流，过滤肥液杂质，保证肥液干净；</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6.4.6七寸触摸屏，显示清晰，操作灵敏，登录界面支持管理员密码登记，防止任意操作；</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6.4.7系统可实现实时数据显示、时间设置、触摸控制、上下限设置、定时定量灌溉、系统参数设置等，操作方式多样，满足不同需求；</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6.4.8手动、自动控制，两种模式可切换，操作灵活方便；</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6.4.9电缆线连接时，最多拓展19路电磁阀，在屏幕内自动控制；</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6.4.10无线数据传输+物联网云端平台监测、远程控制+手机微信端数据监测、控制；</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6.4.11根据气象参数计算作物需水量；</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6.4.12根据作物生长模型计算灌溉量，自动控制灌溉；</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6.4.13记录并分析作物灌溉规律与栽培模式，优化灌溉施肥管理流程。</w:t>
            </w:r>
          </w:p>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6.4.14扩展无线智能网关，可拓展1~51路阀门控制器；</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eastAsia"/>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ind w:firstLine="420" w:firstLineChars="200"/>
              <w:rPr>
                <w:rFonts w:hint="eastAsia"/>
                <w:color w:val="auto"/>
                <w:vertAlign w:val="baseline"/>
                <w:lang w:val="en-US" w:eastAsia="zh-CN"/>
              </w:rPr>
            </w:pPr>
            <w:r>
              <w:rPr>
                <w:rFonts w:hint="eastAsia" w:ascii="宋体" w:hAnsi="宋体" w:eastAsia="宋体" w:cs="宋体"/>
                <w:color w:val="auto"/>
                <w:sz w:val="21"/>
                <w:szCs w:val="21"/>
                <w:highlight w:val="none"/>
              </w:rPr>
              <w:t>6.5 电磁阀:2寸电磁阀，电磁线圈电源：DC12V</w:t>
            </w:r>
          </w:p>
        </w:tc>
        <w:tc>
          <w:tcPr>
            <w:tcW w:w="762" w:type="dxa"/>
          </w:tcPr>
          <w:p>
            <w:pPr>
              <w:rPr>
                <w:rFonts w:hint="default"/>
                <w:color w:val="auto"/>
                <w:vertAlign w:val="baseline"/>
                <w:lang w:val="en-US" w:eastAsia="zh-CN"/>
              </w:rPr>
            </w:pPr>
            <w:r>
              <w:rPr>
                <w:rFonts w:hint="eastAsia"/>
                <w:color w:val="auto"/>
                <w:vertAlign w:val="baseline"/>
                <w:lang w:val="en-US" w:eastAsia="zh-CN"/>
              </w:rPr>
              <w:t>26</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eastAsia"/>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6.6阀门控制系统:无线阀门控制器使用470M无线模块，实现远距离无线传输且具有超强的穿墙功能以及抗干扰能力。物联网网关定时轮询获取每个无线阀门控制器的继电器状态，并通过物联网网关上传至云平台。无线阀门控制器可采用低功耗工作方式，在接电不方便的地方也可长时间工作。</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供电电压</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DC12V</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锂电池容量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12V、5000mA</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太阳能板</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12V、10W</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工作频段</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470MHz</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功耗</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平均＜1mA</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通信距离</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≥2KM（空旷环境）</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信道</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16个（0～0F）</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波特率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自适应</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数据传输方式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被动召测</w:t>
            </w:r>
          </w:p>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工作环境</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-20℃-60℃；5%RH-95%RH（非凝露）</w:t>
            </w:r>
          </w:p>
        </w:tc>
        <w:tc>
          <w:tcPr>
            <w:tcW w:w="762" w:type="dxa"/>
          </w:tcPr>
          <w:p>
            <w:pPr>
              <w:rPr>
                <w:rFonts w:hint="default"/>
                <w:color w:val="auto"/>
                <w:vertAlign w:val="baseline"/>
                <w:lang w:val="en-US" w:eastAsia="zh-CN"/>
              </w:rPr>
            </w:pPr>
            <w:r>
              <w:rPr>
                <w:rFonts w:hint="eastAsia"/>
                <w:color w:val="auto"/>
                <w:vertAlign w:val="baseline"/>
                <w:lang w:val="en-US" w:eastAsia="zh-CN"/>
              </w:rPr>
              <w:t>26</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eastAsia"/>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6.7辅材配件:管道、法兰、三通、弯头、活接、套管电线等连接配件</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eastAsia"/>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6.8施工:施工、泵房基建</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restart"/>
          </w:tcPr>
          <w:p>
            <w:pPr>
              <w:rPr>
                <w:rFonts w:hint="default"/>
                <w:b/>
                <w:bCs/>
                <w:color w:val="auto"/>
                <w:vertAlign w:val="baseline"/>
                <w:lang w:val="en-US" w:eastAsia="zh-CN"/>
              </w:rPr>
            </w:pPr>
            <w:r>
              <w:rPr>
                <w:rFonts w:hint="eastAsia"/>
                <w:b/>
                <w:bCs/>
                <w:color w:val="auto"/>
                <w:vertAlign w:val="baseline"/>
                <w:lang w:val="en-US" w:eastAsia="zh-CN"/>
              </w:rPr>
              <w:t>7</w:t>
            </w:r>
          </w:p>
        </w:tc>
        <w:tc>
          <w:tcPr>
            <w:tcW w:w="1131" w:type="dxa"/>
            <w:vMerge w:val="restart"/>
          </w:tcPr>
          <w:p>
            <w:pPr>
              <w:rPr>
                <w:rFonts w:hint="eastAsia"/>
                <w:b/>
                <w:bCs/>
                <w:color w:val="auto"/>
                <w:vertAlign w:val="baseline"/>
                <w:lang w:val="en-US" w:eastAsia="zh-CN"/>
              </w:rPr>
            </w:pPr>
            <w:r>
              <w:rPr>
                <w:rFonts w:hint="eastAsia" w:ascii="宋体" w:hAnsi="宋体" w:eastAsia="宋体" w:cs="宋体"/>
                <w:b/>
                <w:bCs/>
                <w:color w:val="auto"/>
                <w:sz w:val="21"/>
                <w:szCs w:val="21"/>
                <w:highlight w:val="none"/>
              </w:rPr>
              <w:t>指挥中心</w:t>
            </w:r>
          </w:p>
        </w:tc>
        <w:tc>
          <w:tcPr>
            <w:tcW w:w="5261" w:type="dxa"/>
          </w:tcPr>
          <w:p>
            <w:pPr>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7.指挥中心</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7.1液晶拼接大屏（3行3列）:液晶显示单元，采用工业级超窄边面板，屏幕之间拼缝3.5 mm。超高亮度 500 cd/m²，直下式 LED;背光源，显示单元亮度均匀，无边界暗影现象。具有丰富的接口，可接收 DVI、VGA、HDMI 等各种信号。直下式 LED 背光源，亮度均匀，无边界暗影现象。</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物理分辨率1920 × 1080。</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2.全高清显示，画面细腻，色彩丰富。</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3.高清晰度、高亮度、高色域。</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视角可达 178°，趋近于水平。</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显示面积大、体积小、重量轻。</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超窄边设计。</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运行稳定， 24 小时持续工作。</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支持壁挂、落地、吊装等多种安装方式。</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多种拼接方式，能适应各种使用场所。</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10.金属外壳，防辐射、防磁场、防强电场干扰。</w:t>
            </w:r>
          </w:p>
          <w:p>
            <w:pPr>
              <w:rPr>
                <w:rFonts w:hint="eastAsia"/>
                <w:color w:val="auto"/>
                <w:vertAlign w:val="baseline"/>
                <w:lang w:val="en-US" w:eastAsia="zh-CN"/>
              </w:rPr>
            </w:pPr>
            <w:r>
              <w:rPr>
                <w:rFonts w:hint="eastAsia" w:ascii="宋体" w:hAnsi="宋体" w:eastAsia="宋体" w:cs="宋体"/>
                <w:color w:val="auto"/>
                <w:sz w:val="21"/>
                <w:szCs w:val="21"/>
                <w:highlight w:val="none"/>
              </w:rPr>
              <w:t>11.实时监控设备温度，过温自保护，防止面板灼烧。</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eastAsia"/>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7.2解码器（综合显控单元9路输出）</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7.2.1基于嵌入式硬件平台开发的一款解码设备</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HDMI、BNC输出口解码输出</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7.2.3  H.265、H.264、MPEG4、MJPEG等多种编码码流解码，解码性能强劲，支持4K超高清输出</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7.2.4  HDMI（奇数口）输出分辨率最高支持4K（3840 × 2160@30 Hz）</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7.2.5  H.265、H.264、MPEG4、MJPEG等主流的编码格式的解码</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7.2.6  PS、RTP、TS、ES等主流的封装格式的解码</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7.2.7  H.265、H.264的Baseline、Main、High-profile编码级别的解码</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7.2.8  G.722、G.711A、G.726、G.711U、MPEG2-L2、AAC音频格式的解码;多元化的解码控制模式;</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主动解码和被动解码两种解码模式</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7.2.9  VGA、DVI本地输入</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7.2.10  开窗、窗口漫游、窗口分屏功能</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7.2.11远程录像文件的解码输出</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7.2.12  DDNS前端解码</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7.2.13  直连前端设备解码上墙和通过流媒体转发的方式解码上墙</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7.2.14  使用RTSP URL方式从编码设备取流解码</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7.2.15  ONVIF标准协议接入设备，支持GB28181协议接入设备</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7.2.16  RTP\RTSP协议进行网络源预览</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7.2.17 平台以SDK方式集成设备</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7.2.18完备的运维管理</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Web方式访问、配置和管理</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远程获取和配置参数，支持远程导出和导入参数</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7.2.19远程获取系统运行状态、系统日志</w:t>
            </w:r>
          </w:p>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7.2.20 远程重启、恢复默认配置、升级等日常维护</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eastAsia"/>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7.3交换机：8千兆交换机</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eastAsia"/>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7.4路由器WAN口类型：电口无线协议：Wi-Fi 6APP控制：支持APP控制适用面积：61-120㎡无线速率：7200M是否带USB：无USB接口游戏加速：无LAN口类型：电口WAN接入口：千兆网口其他端口：重置键总带机量：101-150终端LAN口数量：3个</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eastAsia"/>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7.5音响：音响一套+话筒+功放机</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eastAsia"/>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7.6 电脑：CPU：酷睿i7 10700；操作系统：Windows10；内存容量：16G；500G固态硬盘、 静音散热、独立显存4G</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Merge w:val="continue"/>
          </w:tcPr>
          <w:p>
            <w:pPr>
              <w:rPr>
                <w:rFonts w:hint="eastAsia"/>
                <w:b/>
                <w:bCs/>
                <w:color w:val="auto"/>
                <w:vertAlign w:val="baseline"/>
                <w:lang w:val="en-US" w:eastAsia="zh-CN"/>
              </w:rPr>
            </w:pPr>
          </w:p>
        </w:tc>
        <w:tc>
          <w:tcPr>
            <w:tcW w:w="1131" w:type="dxa"/>
            <w:vMerge w:val="continue"/>
          </w:tcPr>
          <w:p>
            <w:pPr>
              <w:rPr>
                <w:rFonts w:hint="eastAsia"/>
                <w:b/>
                <w:bCs/>
                <w:color w:val="auto"/>
                <w:vertAlign w:val="baseline"/>
                <w:lang w:val="en-US" w:eastAsia="zh-CN"/>
              </w:rPr>
            </w:pPr>
          </w:p>
        </w:tc>
        <w:tc>
          <w:tcPr>
            <w:tcW w:w="5261" w:type="dxa"/>
          </w:tcPr>
          <w:p>
            <w:pPr>
              <w:ind w:firstLine="420"/>
              <w:rPr>
                <w:rFonts w:hint="eastAsia"/>
                <w:color w:val="auto"/>
                <w:vertAlign w:val="baseline"/>
                <w:lang w:val="en-US" w:eastAsia="zh-CN"/>
              </w:rPr>
            </w:pPr>
            <w:r>
              <w:rPr>
                <w:rFonts w:hint="eastAsia" w:ascii="宋体" w:hAnsi="宋体" w:eastAsia="宋体" w:cs="宋体"/>
                <w:color w:val="auto"/>
                <w:sz w:val="21"/>
                <w:szCs w:val="21"/>
                <w:highlight w:val="none"/>
              </w:rPr>
              <w:t>7.7线缆辅材：辅材线缆一批</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pPr>
              <w:rPr>
                <w:rFonts w:hint="default"/>
                <w:b/>
                <w:bCs/>
                <w:color w:val="auto"/>
                <w:vertAlign w:val="baseline"/>
                <w:lang w:val="en-US" w:eastAsia="zh-CN"/>
              </w:rPr>
            </w:pPr>
            <w:r>
              <w:rPr>
                <w:rFonts w:hint="eastAsia"/>
                <w:b/>
                <w:bCs/>
                <w:color w:val="auto"/>
                <w:vertAlign w:val="baseline"/>
                <w:lang w:val="en-US" w:eastAsia="zh-CN"/>
              </w:rPr>
              <w:t>8</w:t>
            </w:r>
          </w:p>
        </w:tc>
        <w:tc>
          <w:tcPr>
            <w:tcW w:w="1131" w:type="dxa"/>
          </w:tcPr>
          <w:p>
            <w:pPr>
              <w:rPr>
                <w:rFonts w:hint="eastAsia"/>
                <w:b/>
                <w:bCs/>
                <w:color w:val="auto"/>
                <w:vertAlign w:val="baseline"/>
                <w:lang w:val="en-US" w:eastAsia="zh-CN"/>
              </w:rPr>
            </w:pPr>
            <w:r>
              <w:rPr>
                <w:rFonts w:hint="eastAsia" w:ascii="宋体" w:hAnsi="宋体" w:eastAsia="宋体" w:cs="宋体"/>
                <w:b/>
                <w:bCs/>
                <w:color w:val="auto"/>
                <w:sz w:val="21"/>
                <w:szCs w:val="21"/>
                <w:highlight w:val="none"/>
              </w:rPr>
              <w:t>智慧农业大数据云平台（含手机端APP）</w:t>
            </w:r>
          </w:p>
        </w:tc>
        <w:tc>
          <w:tcPr>
            <w:tcW w:w="5261" w:type="dxa"/>
          </w:tcPr>
          <w:p>
            <w:pPr>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8.智慧农业大数据云平台（含手机端APP）</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1)设备管理支持用户标记设备位置、故障上报、展示设备基本信息等功能</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不同的权限分配，当前所部署用户拥有超级管理员权限，可全方位无死角查看当前平台内的所有设备基础信息情况，并可通过地图及可视化一张图系统同时兼具防盗的功能，在大屏系统查看任意设备参数、工作情况、以生动的沉浸式界面，更加直观的管理所有设备。2)普通用户通过一般账号登录，可查看本账号下设备的各项参数，基础信息，同时也提供设备交互式管理模式，让管理更简单3)支持用户自定义系统主题，根据用户的喜好定制主题，列表样式等4)预警设置，支持用户设置多维度预警参数，超出参数阈值，平台会向用户发送预警5)日志管理，平台记录用户敏感操作的日志，便于问题跟踪</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虫情测报灯：通过灯管诱集，将收集的害虫分别进行分段存放和拍照，并将数据发送至监测平台，平台整理分析每天多次收集的数据，根据图片与数据,可对每个时间段内收集的害虫进行虫体分类与计数，结合环境温湿度形成虫体虫类曲线图、分布图和数据报表，反馈给用户，做好林业防护。设备设备的各种功能可通过网络远程设置、修改读取，还可根据需要远程拍摄自己需要的照片并上传到服务器。</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性诱测报：通过化学诱剂能够针对特定范围害虫实现引诱收集，可对设备进行设备控制模式定义，远程控制。设备支持高精度拍照，拍照图像通过大数据平台AI图像识别，达到害虫数量、种类、占比等维度的分析目的，给与使用者高价值、高精度虫情数据；</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5)气象环境监测：采集种植区域及其周边自然环境数据，包括空气温湿度、光照度、风向、风力、土壤温度水份、土壤 PH 值、虫情、视频等信息；对采集的数据进行清洗、整理，按照时间、地域等分类整理并存储。</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6)平台支持账户内接入多维度监控设备，在平台内对农田、设备、农资进行实时监控，也可支持监控设备多角度调整、图像实时抓拍，客户门不出户便可掌控田地动态。</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水肥一体化智能灌溉系统可以帮助生产者很方便的实现自动的水肥一体化管理。系统由上位机软件系统、区域控制柜、分路控制器、变送器、数据采集终端组成。通过与供水系统有机结合，实现智能化控制。可实现智能化监测、控制灌溉中的供水时间、施肥浓度以及供水量。变送器（土壤水分变送器、流量变送器等）将实时监测的灌溉状况，当灌区土壤湿度达到预 先设定的下限值时，电磁阀可以自动开启，当监测的土壤含水量及液位达到预设的灌水定额后，可以自动关闭电磁阀系统。可根据时间段调度整个灌区电磁阀的轮流 工作，并手动控制灌溉和采集墒情。整个系统可协调工作实施轮</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8)大数据平台支持多维度数据可视化样式展示，可多层级立体化展示平台数据流，数据实时更新，实时掌握全局动、捕捉异常动态。</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9)APP、小程序可实现用户便捷控制设备、查看设备信息、虫害图像识别、论坛学习交流、专家问题诊断，集成大数据平台功能，摆脱PC端不便现场处理的约束。</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知识库：用以存放领域专家提供的专门知识、这此专门知识包括与领域相关的书本知识、常识性知识以及专家凭经验得到的试探性知识、专家系统的问题求解是运用专家提供的专门知识来模拟专家的思维方式进行的、知识库中拥有知识的数量和质量成为一个专家系统中系统性能和问题求解能力的关键因素。</w:t>
            </w:r>
          </w:p>
          <w:p>
            <w:pPr>
              <w:rPr>
                <w:rFonts w:hint="eastAsia"/>
                <w:color w:val="auto"/>
                <w:vertAlign w:val="baseline"/>
                <w:lang w:val="en-US" w:eastAsia="zh-CN"/>
              </w:rPr>
            </w:pPr>
            <w:r>
              <w:rPr>
                <w:rFonts w:hint="eastAsia" w:ascii="宋体" w:hAnsi="宋体" w:eastAsia="宋体" w:cs="宋体"/>
                <w:b/>
                <w:color w:val="auto"/>
                <w:sz w:val="21"/>
                <w:szCs w:val="21"/>
                <w:highlight w:val="none"/>
              </w:rPr>
              <w:t>病虫害库：</w:t>
            </w:r>
            <w:r>
              <w:rPr>
                <w:rFonts w:hint="eastAsia" w:ascii="宋体" w:hAnsi="宋体" w:eastAsia="宋体" w:cs="宋体"/>
                <w:color w:val="auto"/>
                <w:sz w:val="21"/>
                <w:szCs w:val="21"/>
                <w:highlight w:val="none"/>
              </w:rPr>
              <w:t>病虫害库收录了360余种作物虫害、90余虫作物病害，在这里用户可查看病虫害详细描述、防止方法、发生趋势，可使平台用户能快速定位病虫害。</w:t>
            </w:r>
          </w:p>
        </w:tc>
        <w:tc>
          <w:tcPr>
            <w:tcW w:w="762" w:type="dxa"/>
          </w:tcPr>
          <w:p>
            <w:pPr>
              <w:rPr>
                <w:rFonts w:hint="default"/>
                <w:color w:val="auto"/>
                <w:vertAlign w:val="baseline"/>
                <w:lang w:val="en-US" w:eastAsia="zh-CN"/>
              </w:rPr>
            </w:pPr>
            <w:r>
              <w:rPr>
                <w:rFonts w:hint="eastAsia"/>
                <w:color w:val="auto"/>
                <w:vertAlign w:val="baseline"/>
                <w:lang w:val="en-US" w:eastAsia="zh-CN"/>
              </w:rPr>
              <w:t>1</w:t>
            </w:r>
          </w:p>
        </w:tc>
        <w:tc>
          <w:tcPr>
            <w:tcW w:w="742" w:type="dxa"/>
          </w:tcPr>
          <w:p>
            <w:pPr>
              <w:rPr>
                <w:rFonts w:hint="eastAsia"/>
                <w:b/>
                <w:bCs/>
                <w:color w:val="auto"/>
                <w:vertAlign w:val="baseline"/>
                <w:lang w:val="en-US" w:eastAsia="zh-CN"/>
              </w:rPr>
            </w:pPr>
            <w:r>
              <w:rPr>
                <w:rFonts w:hint="eastAsia"/>
                <w:b/>
                <w:bCs/>
                <w:color w:val="auto"/>
                <w:vertAlign w:val="baseline"/>
                <w:lang w:val="en-US" w:eastAsia="zh-CN"/>
              </w:rPr>
              <w:t>套</w:t>
            </w:r>
          </w:p>
        </w:tc>
      </w:tr>
    </w:tbl>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swiss"/>
    <w:pitch w:val="default"/>
    <w:sig w:usb0="A00002EF" w:usb1="4000207B"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MxYjVkODQ5MGRhZDgwZGUzZjEyMDIyMjRkYWUyZmQifQ=="/>
  </w:docVars>
  <w:rsids>
    <w:rsidRoot w:val="065B0026"/>
    <w:rsid w:val="065B00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60" w:line="259" w:lineRule="auto"/>
    </w:pPr>
    <w:rPr>
      <w:rFonts w:ascii="Times New Roman" w:hAnsi="Times New Roman" w:eastAsia="宋体" w:cs="Times New Roman"/>
      <w:sz w:val="22"/>
      <w:szCs w:val="22"/>
      <w:lang w:val="en-US" w:eastAsia="zh-CN" w:bidi="ar-SA"/>
    </w:rPr>
  </w:style>
  <w:style w:type="paragraph" w:styleId="3">
    <w:name w:val="heading 2"/>
    <w:basedOn w:val="1"/>
    <w:next w:val="1"/>
    <w:qFormat/>
    <w:uiPriority w:val="9"/>
    <w:pPr>
      <w:keepNext/>
      <w:keepLines/>
      <w:spacing w:before="40" w:beforeLines="0" w:after="0" w:afterLines="0"/>
      <w:outlineLvl w:val="1"/>
    </w:pPr>
    <w:rPr>
      <w:rFonts w:ascii="Calibri Light" w:hAnsi="Calibri Light" w:eastAsia="宋体"/>
      <w:b/>
      <w:color w:val="2E74B5"/>
      <w:sz w:val="28"/>
      <w:szCs w:val="28"/>
    </w:rPr>
  </w:style>
  <w:style w:type="paragraph" w:styleId="4">
    <w:name w:val="heading 3"/>
    <w:basedOn w:val="1"/>
    <w:next w:val="1"/>
    <w:qFormat/>
    <w:uiPriority w:val="9"/>
    <w:pPr>
      <w:keepNext/>
      <w:keepLines/>
      <w:spacing w:before="40" w:beforeLines="0" w:after="0" w:afterLines="0"/>
      <w:outlineLvl w:val="2"/>
    </w:pPr>
    <w:rPr>
      <w:rFonts w:ascii="Calibri Light" w:hAnsi="Calibri Light"/>
      <w:color w:val="1F4E79"/>
      <w:sz w:val="24"/>
      <w:szCs w:val="24"/>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5">
    <w:name w:val="footer"/>
    <w:basedOn w:val="1"/>
    <w:next w:val="6"/>
    <w:qFormat/>
    <w:uiPriority w:val="0"/>
    <w:pPr>
      <w:tabs>
        <w:tab w:val="center" w:pos="4153"/>
        <w:tab w:val="right" w:pos="8306"/>
      </w:tabs>
      <w:snapToGrid w:val="0"/>
      <w:jc w:val="left"/>
    </w:pPr>
    <w:rPr>
      <w:rFonts w:eastAsia="宋体"/>
      <w:kern w:val="2"/>
      <w:sz w:val="18"/>
      <w:lang w:val="en-US" w:eastAsia="zh-CN"/>
    </w:rPr>
  </w:style>
  <w:style w:type="paragraph" w:customStyle="1" w:styleId="6">
    <w:name w:val="样式 宋体 小四1 Char"/>
    <w:basedOn w:val="1"/>
    <w:qFormat/>
    <w:uiPriority w:val="0"/>
    <w:pPr>
      <w:widowControl/>
      <w:spacing w:before="100" w:beforeLines="0" w:beforeAutospacing="1" w:after="100" w:afterLines="0" w:afterAutospacing="1" w:line="300" w:lineRule="auto"/>
      <w:jc w:val="left"/>
    </w:pPr>
    <w:rPr>
      <w:rFonts w:ascii="宋体" w:hAnsi="宋体" w:eastAsia="宋体" w:cs="Times New Roman"/>
      <w:kern w:val="0"/>
      <w:sz w:val="22"/>
      <w:szCs w:val="21"/>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qFormat/>
    <w:uiPriority w:val="0"/>
  </w:style>
  <w:style w:type="paragraph" w:customStyle="1" w:styleId="11">
    <w:name w:val="Default"/>
    <w:qFormat/>
    <w:uiPriority w:val="0"/>
    <w:pPr>
      <w:widowControl w:val="0"/>
      <w:autoSpaceDE w:val="0"/>
      <w:autoSpaceDN w:val="0"/>
      <w:adjustRightInd w:val="0"/>
    </w:pPr>
    <w:rPr>
      <w:rFonts w:ascii="黑体" w:hAnsi="Times New Roman" w:eastAsia="黑体" w:cs="Times New Roman"/>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6569</Words>
  <Characters>7753</Characters>
  <Lines>0</Lines>
  <Paragraphs>0</Paragraphs>
  <TotalTime>36</TotalTime>
  <ScaleCrop>false</ScaleCrop>
  <LinksUpToDate>false</LinksUpToDate>
  <CharactersWithSpaces>7976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2022-12-21T03:02:00Z</dcterms:created>
  <dc:creator>彬</dc:creator>
  <cp:lastModifiedBy>彬</cp:lastModifiedBy>
  <dcterms:modified xsi:type="dcterms:W3CDTF">2022-12-21T06:01:38Z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4FD75F78A6E246CC9BFED254FFF0BC4B</vt:lpwstr>
  </property>
</Properties>
</file>